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861D99" w:rsidTr="00050DA7">
        <w:tc>
          <w:tcPr>
            <w:tcW w:w="4428" w:type="dxa"/>
          </w:tcPr>
          <w:p w:rsidR="000348ED" w:rsidRPr="00861D99" w:rsidRDefault="005D05AC" w:rsidP="00E0342C">
            <w:pPr>
              <w:tabs>
                <w:tab w:val="left" w:pos="851"/>
              </w:tabs>
              <w:rPr>
                <w:rFonts w:ascii="Calibri" w:hAnsi="Calibri"/>
              </w:rPr>
            </w:pPr>
            <w:r w:rsidRPr="00861D99">
              <w:rPr>
                <w:rFonts w:ascii="Calibri" w:hAnsi="Calibri"/>
              </w:rPr>
              <w:t>From:</w:t>
            </w:r>
            <w:r w:rsidRPr="00861D99">
              <w:rPr>
                <w:rFonts w:ascii="Calibri" w:hAnsi="Calibri"/>
              </w:rPr>
              <w:tab/>
            </w:r>
            <w:r w:rsidR="00E0342C" w:rsidRPr="00861D99">
              <w:rPr>
                <w:rFonts w:ascii="Calibri" w:hAnsi="Calibri"/>
              </w:rPr>
              <w:t>ARM</w:t>
            </w:r>
            <w:r w:rsidR="00CA04AF" w:rsidRPr="00861D99">
              <w:rPr>
                <w:rFonts w:ascii="Calibri" w:hAnsi="Calibri"/>
              </w:rPr>
              <w:t xml:space="preserve"> </w:t>
            </w:r>
            <w:r w:rsidRPr="00861D99">
              <w:rPr>
                <w:rFonts w:ascii="Calibri" w:hAnsi="Calibri"/>
              </w:rPr>
              <w:t>C</w:t>
            </w:r>
            <w:r w:rsidR="00050DA7" w:rsidRPr="00861D99">
              <w:rPr>
                <w:rFonts w:ascii="Calibri" w:hAnsi="Calibri"/>
              </w:rPr>
              <w:t>ommittee</w:t>
            </w:r>
          </w:p>
        </w:tc>
        <w:tc>
          <w:tcPr>
            <w:tcW w:w="5461" w:type="dxa"/>
          </w:tcPr>
          <w:p w:rsidR="00E32475" w:rsidRDefault="00E32475" w:rsidP="005D05AC">
            <w:pPr>
              <w:jc w:val="right"/>
              <w:rPr>
                <w:rFonts w:ascii="Calibri" w:hAnsi="Calibri"/>
              </w:rPr>
            </w:pPr>
            <w:r>
              <w:rPr>
                <w:rFonts w:ascii="Calibri" w:hAnsi="Calibri"/>
              </w:rPr>
              <w:t>ENG7-9.8</w:t>
            </w:r>
          </w:p>
          <w:p w:rsidR="000348ED" w:rsidRPr="00861D99" w:rsidRDefault="00E32475" w:rsidP="005D05AC">
            <w:pPr>
              <w:jc w:val="right"/>
              <w:rPr>
                <w:rFonts w:ascii="Calibri" w:hAnsi="Calibri"/>
                <w:highlight w:val="yellow"/>
              </w:rPr>
            </w:pPr>
            <w:r>
              <w:rPr>
                <w:rFonts w:ascii="Calibri" w:hAnsi="Calibri"/>
              </w:rPr>
              <w:t xml:space="preserve">Formerly </w:t>
            </w:r>
            <w:bookmarkStart w:id="0" w:name="_GoBack"/>
            <w:bookmarkEnd w:id="0"/>
            <w:r w:rsidR="0004608B" w:rsidRPr="0004608B">
              <w:rPr>
                <w:rFonts w:ascii="Calibri" w:hAnsi="Calibri"/>
              </w:rPr>
              <w:t>ARM6-12.1.15</w:t>
            </w:r>
          </w:p>
        </w:tc>
      </w:tr>
      <w:tr w:rsidR="000348ED" w:rsidRPr="00861D99" w:rsidTr="00050DA7">
        <w:tc>
          <w:tcPr>
            <w:tcW w:w="4428" w:type="dxa"/>
          </w:tcPr>
          <w:p w:rsidR="000348ED" w:rsidRPr="00861D99" w:rsidRDefault="005D05AC" w:rsidP="00E0342C">
            <w:pPr>
              <w:tabs>
                <w:tab w:val="left" w:pos="851"/>
              </w:tabs>
              <w:rPr>
                <w:rFonts w:ascii="Calibri" w:hAnsi="Calibri"/>
              </w:rPr>
            </w:pPr>
            <w:r w:rsidRPr="00861D99">
              <w:rPr>
                <w:rFonts w:ascii="Calibri" w:hAnsi="Calibri"/>
              </w:rPr>
              <w:t>To:</w:t>
            </w:r>
            <w:r w:rsidRPr="00861D99">
              <w:rPr>
                <w:rFonts w:ascii="Calibri" w:hAnsi="Calibri"/>
              </w:rPr>
              <w:tab/>
            </w:r>
            <w:r w:rsidR="00E0342C" w:rsidRPr="00861D99">
              <w:rPr>
                <w:rFonts w:ascii="Calibri" w:hAnsi="Calibri"/>
              </w:rPr>
              <w:t>ENG</w:t>
            </w:r>
            <w:r w:rsidR="00CA04AF" w:rsidRPr="00861D99">
              <w:rPr>
                <w:rFonts w:ascii="Calibri" w:hAnsi="Calibri"/>
              </w:rPr>
              <w:t xml:space="preserve"> </w:t>
            </w:r>
            <w:r w:rsidR="00902AA4" w:rsidRPr="00861D99">
              <w:rPr>
                <w:rFonts w:ascii="Calibri" w:hAnsi="Calibri"/>
              </w:rPr>
              <w:t>Committee</w:t>
            </w:r>
          </w:p>
        </w:tc>
        <w:tc>
          <w:tcPr>
            <w:tcW w:w="5461" w:type="dxa"/>
          </w:tcPr>
          <w:p w:rsidR="000348ED" w:rsidRPr="00861D99" w:rsidRDefault="00E0342C" w:rsidP="0004608B">
            <w:pPr>
              <w:jc w:val="right"/>
              <w:rPr>
                <w:rFonts w:ascii="Calibri" w:hAnsi="Calibri"/>
              </w:rPr>
            </w:pPr>
            <w:r w:rsidRPr="00861D99">
              <w:rPr>
                <w:rFonts w:ascii="Calibri" w:hAnsi="Calibri"/>
              </w:rPr>
              <w:t>2</w:t>
            </w:r>
            <w:r w:rsidR="0004608B">
              <w:rPr>
                <w:rFonts w:ascii="Calibri" w:hAnsi="Calibri"/>
              </w:rPr>
              <w:t>8</w:t>
            </w:r>
            <w:r w:rsidR="005D05AC" w:rsidRPr="00861D99">
              <w:rPr>
                <w:rFonts w:ascii="Calibri" w:hAnsi="Calibri"/>
              </w:rPr>
              <w:t xml:space="preserve"> </w:t>
            </w:r>
            <w:r w:rsidRPr="00861D99">
              <w:rPr>
                <w:rFonts w:ascii="Calibri" w:hAnsi="Calibri"/>
              </w:rPr>
              <w:t>April</w:t>
            </w:r>
            <w:r w:rsidR="005D05AC" w:rsidRPr="00861D99">
              <w:rPr>
                <w:rFonts w:ascii="Calibri" w:hAnsi="Calibri"/>
              </w:rPr>
              <w:t xml:space="preserve"> 20</w:t>
            </w:r>
            <w:r w:rsidR="001A654A" w:rsidRPr="00861D99">
              <w:rPr>
                <w:rFonts w:ascii="Calibri" w:hAnsi="Calibri"/>
              </w:rPr>
              <w:t>1</w:t>
            </w:r>
            <w:r w:rsidRPr="00861D99">
              <w:rPr>
                <w:rFonts w:ascii="Calibri" w:hAnsi="Calibri"/>
              </w:rPr>
              <w:t>7</w:t>
            </w:r>
          </w:p>
        </w:tc>
      </w:tr>
    </w:tbl>
    <w:p w:rsidR="000348ED" w:rsidRPr="00861D99" w:rsidRDefault="00E66034" w:rsidP="005D05AC">
      <w:pPr>
        <w:pStyle w:val="Title"/>
        <w:spacing w:before="480" w:after="120"/>
        <w:rPr>
          <w:rFonts w:ascii="Calibri" w:hAnsi="Calibri"/>
          <w:color w:val="00558C"/>
        </w:rPr>
      </w:pPr>
      <w:r w:rsidRPr="00861D99">
        <w:rPr>
          <w:rFonts w:ascii="Calibri" w:hAnsi="Calibri"/>
          <w:color w:val="00558C"/>
        </w:rPr>
        <w:t>LIAISON NOTE</w:t>
      </w:r>
    </w:p>
    <w:p w:rsidR="000348ED" w:rsidRPr="00861D99" w:rsidRDefault="00E0342C" w:rsidP="005D05AC">
      <w:pPr>
        <w:pStyle w:val="Title"/>
        <w:spacing w:after="120"/>
        <w:rPr>
          <w:rFonts w:ascii="Calibri" w:hAnsi="Calibri"/>
          <w:color w:val="00558C"/>
        </w:rPr>
      </w:pPr>
      <w:r w:rsidRPr="00861D99">
        <w:rPr>
          <w:rFonts w:ascii="Calibri" w:hAnsi="Calibri"/>
          <w:color w:val="00558C"/>
        </w:rPr>
        <w:t>Disparity in versions of IALA Guideline 1041</w:t>
      </w:r>
    </w:p>
    <w:p w:rsidR="0064435F" w:rsidRPr="00861D99" w:rsidRDefault="0064435F" w:rsidP="00E66034">
      <w:pPr>
        <w:pStyle w:val="Heading1"/>
      </w:pPr>
      <w:r w:rsidRPr="00861D99">
        <w:t>Introduction</w:t>
      </w:r>
    </w:p>
    <w:p w:rsidR="00B8247E" w:rsidRPr="00861D99" w:rsidRDefault="00E0342C" w:rsidP="00E66034">
      <w:pPr>
        <w:pStyle w:val="BodyText"/>
      </w:pPr>
      <w:r w:rsidRPr="00861D99">
        <w:t xml:space="preserve">The ARM Committee received an input document (ARM6-3.2.10) from the Norwegian Coastal Administration (NCA).  This highlighted fundamental differences in the way in which angles in sector lights should be calculated from one edition (2), to the next addition (3).  </w:t>
      </w:r>
    </w:p>
    <w:p w:rsidR="00902AA4" w:rsidRPr="00861D99" w:rsidRDefault="00861D99" w:rsidP="00E66034">
      <w:pPr>
        <w:pStyle w:val="Heading1"/>
      </w:pPr>
      <w:r w:rsidRPr="00861D99">
        <w:t>NCA Issues</w:t>
      </w:r>
    </w:p>
    <w:p w:rsidR="00E93C9B" w:rsidRPr="00861D99" w:rsidRDefault="00861D99" w:rsidP="00861D99">
      <w:pPr>
        <w:pStyle w:val="Bullet3text"/>
        <w:ind w:left="0"/>
        <w:rPr>
          <w:rFonts w:ascii="Calibri" w:hAnsi="Calibri"/>
          <w:lang w:val="en-GB"/>
        </w:rPr>
      </w:pPr>
      <w:r w:rsidRPr="00861D99">
        <w:rPr>
          <w:rFonts w:ascii="Calibri" w:hAnsi="Calibri"/>
          <w:lang w:val="en-GB"/>
        </w:rPr>
        <w:t>The issues from the NCA are:</w:t>
      </w:r>
    </w:p>
    <w:p w:rsidR="00861D99" w:rsidRPr="00861D99" w:rsidRDefault="00861D99" w:rsidP="00861D99">
      <w:pPr>
        <w:pStyle w:val="BodyText"/>
      </w:pPr>
      <w:r w:rsidRPr="00861D99">
        <w:t>Guidance on the method for determining sector limits is given in Guideline 1041 Ed.2 para 5.4.4.  To wit:</w:t>
      </w:r>
    </w:p>
    <w:p w:rsidR="00861D99" w:rsidRPr="00861D99" w:rsidRDefault="00861D99" w:rsidP="00861D99">
      <w:pPr>
        <w:pStyle w:val="BodyText"/>
        <w:jc w:val="center"/>
      </w:pPr>
      <w:r w:rsidRPr="00861D99">
        <w:rPr>
          <w:noProof/>
          <w:lang w:val="en-IE" w:eastAsia="en-IE"/>
        </w:rPr>
        <w:drawing>
          <wp:inline distT="0" distB="0" distL="0" distR="0" wp14:anchorId="385B8531" wp14:editId="2A1175D4">
            <wp:extent cx="4505325" cy="809770"/>
            <wp:effectExtent l="19050" t="19050" r="9525" b="28575"/>
            <wp:docPr id="4"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78940" cy="823001"/>
                    </a:xfrm>
                    <a:prstGeom prst="rect">
                      <a:avLst/>
                    </a:prstGeom>
                    <a:ln w="25400">
                      <a:solidFill>
                        <a:schemeClr val="accent1"/>
                      </a:solidFill>
                    </a:ln>
                  </pic:spPr>
                </pic:pic>
              </a:graphicData>
            </a:graphic>
          </wp:inline>
        </w:drawing>
      </w:r>
    </w:p>
    <w:p w:rsidR="00861D99" w:rsidRPr="00861D99" w:rsidRDefault="00861D99" w:rsidP="00861D99">
      <w:pPr>
        <w:pStyle w:val="BodyText"/>
      </w:pPr>
    </w:p>
    <w:p w:rsidR="00861D99" w:rsidRPr="00861D99" w:rsidRDefault="00861D99" w:rsidP="00861D99">
      <w:pPr>
        <w:pStyle w:val="BodyText"/>
      </w:pPr>
      <w:r w:rsidRPr="00861D99">
        <w:t>In the newest guideline 1041 Ed.3 12.7 and 14.5, the following information is provided:</w:t>
      </w:r>
    </w:p>
    <w:p w:rsidR="00861D99" w:rsidRPr="00861D99" w:rsidRDefault="00861D99" w:rsidP="00861D99">
      <w:pPr>
        <w:pStyle w:val="BodyText"/>
      </w:pPr>
    </w:p>
    <w:p w:rsidR="00861D99" w:rsidRPr="00861D99" w:rsidRDefault="00861D99" w:rsidP="00861D99">
      <w:pPr>
        <w:pStyle w:val="BodyText"/>
        <w:jc w:val="center"/>
      </w:pPr>
      <w:r w:rsidRPr="00861D99">
        <w:rPr>
          <w:noProof/>
          <w:lang w:val="en-IE" w:eastAsia="en-IE"/>
        </w:rPr>
        <w:drawing>
          <wp:inline distT="0" distB="0" distL="0" distR="0" wp14:anchorId="7AE2155D" wp14:editId="4E5A7856">
            <wp:extent cx="5114925" cy="3061843"/>
            <wp:effectExtent l="19050" t="19050" r="9525" b="24765"/>
            <wp:docPr id="5" name="Bil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21424" cy="3065734"/>
                    </a:xfrm>
                    <a:prstGeom prst="rect">
                      <a:avLst/>
                    </a:prstGeom>
                    <a:ln w="25400">
                      <a:solidFill>
                        <a:schemeClr val="accent1"/>
                      </a:solidFill>
                    </a:ln>
                  </pic:spPr>
                </pic:pic>
              </a:graphicData>
            </a:graphic>
          </wp:inline>
        </w:drawing>
      </w:r>
    </w:p>
    <w:p w:rsidR="00861D99" w:rsidRPr="00861D99" w:rsidRDefault="00861D99" w:rsidP="00861D99">
      <w:pPr>
        <w:pStyle w:val="BodyText"/>
      </w:pPr>
      <w:r w:rsidRPr="00861D99">
        <w:lastRenderedPageBreak/>
        <w:t>And:</w:t>
      </w:r>
    </w:p>
    <w:p w:rsidR="00861D99" w:rsidRPr="00861D99" w:rsidRDefault="00861D99" w:rsidP="00861D99">
      <w:pPr>
        <w:pStyle w:val="BodyText"/>
      </w:pPr>
    </w:p>
    <w:p w:rsidR="00861D99" w:rsidRPr="00861D99" w:rsidRDefault="00861D99" w:rsidP="00861D99">
      <w:pPr>
        <w:pStyle w:val="BodyText"/>
        <w:jc w:val="center"/>
      </w:pPr>
      <w:r w:rsidRPr="00861D99">
        <w:rPr>
          <w:noProof/>
          <w:lang w:val="en-IE" w:eastAsia="en-IE"/>
        </w:rPr>
        <w:drawing>
          <wp:inline distT="0" distB="0" distL="0" distR="0" wp14:anchorId="7FC75647" wp14:editId="1D45D63C">
            <wp:extent cx="5305425" cy="2465848"/>
            <wp:effectExtent l="19050" t="19050" r="9525" b="10795"/>
            <wp:docPr id="6" name="Bil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15482" cy="2470522"/>
                    </a:xfrm>
                    <a:prstGeom prst="rect">
                      <a:avLst/>
                    </a:prstGeom>
                    <a:ln w="25400">
                      <a:solidFill>
                        <a:schemeClr val="accent1"/>
                      </a:solidFill>
                    </a:ln>
                  </pic:spPr>
                </pic:pic>
              </a:graphicData>
            </a:graphic>
          </wp:inline>
        </w:drawing>
      </w:r>
    </w:p>
    <w:p w:rsidR="00861D99" w:rsidRPr="00861D99" w:rsidRDefault="00861D99" w:rsidP="00861D99">
      <w:pPr>
        <w:pStyle w:val="Heading1"/>
        <w:tabs>
          <w:tab w:val="num" w:pos="567"/>
        </w:tabs>
      </w:pPr>
      <w:r w:rsidRPr="00861D99">
        <w:t>Discussion</w:t>
      </w:r>
    </w:p>
    <w:p w:rsidR="00861D99" w:rsidRPr="00861D99" w:rsidRDefault="00861D99" w:rsidP="00861D99">
      <w:pPr>
        <w:pStyle w:val="BodyText"/>
      </w:pPr>
      <w:r w:rsidRPr="00861D99">
        <w:t>There is a shift in principles for determining sector boundary bearing</w:t>
      </w:r>
      <w:r w:rsidR="00FD4B99">
        <w:t>s</w:t>
      </w:r>
      <w:r w:rsidRPr="00861D99">
        <w:t xml:space="preserve"> (sector limit) from Ed.2 to Ed.3.  Paragraph 5.4.4 in Ed.2 is considered to give a safe and proper definition/verification of the sector limit(s).  Sector limits of red/green boundaries are defined at a 50/50 mix of red and green.</w:t>
      </w:r>
    </w:p>
    <w:p w:rsidR="00861D99" w:rsidRPr="00861D99" w:rsidRDefault="00861D99" w:rsidP="00861D99">
      <w:pPr>
        <w:pStyle w:val="BodyText"/>
      </w:pPr>
      <w:r w:rsidRPr="00861D99">
        <w:t xml:space="preserve">Between white and coloured lights, the sector limit is defined at full intensity of the coloured light (clear coloured red or green).  For white sectors, this is in line with Ed.3 para 12.7, which have the full angle of uncertainty (mixed colours) within the safe sector (white). </w:t>
      </w:r>
    </w:p>
    <w:p w:rsidR="00861D99" w:rsidRPr="00861D99" w:rsidRDefault="00861D99" w:rsidP="00861D99">
      <w:pPr>
        <w:pStyle w:val="BodyText"/>
      </w:pPr>
      <w:r w:rsidRPr="00861D99">
        <w:t xml:space="preserve">In Ed. 3 para 14.5 (last section) this definition is </w:t>
      </w:r>
      <w:r w:rsidRPr="00861D99">
        <w:rPr>
          <w:i/>
        </w:rPr>
        <w:t>not</w:t>
      </w:r>
      <w:r w:rsidRPr="00861D99">
        <w:t xml:space="preserve"> used: here the definition is defined as a 50/50 mix of white and red/green. </w:t>
      </w:r>
    </w:p>
    <w:p w:rsidR="00F135B2" w:rsidRPr="0004608B" w:rsidRDefault="00F135B2" w:rsidP="00F135B2">
      <w:pPr>
        <w:pStyle w:val="List1"/>
        <w:numPr>
          <w:ilvl w:val="0"/>
          <w:numId w:val="0"/>
        </w:numPr>
        <w:rPr>
          <w:lang w:val="en-GB"/>
        </w:rPr>
      </w:pPr>
      <w:r w:rsidRPr="0004608B">
        <w:rPr>
          <w:lang w:val="en-GB"/>
        </w:rPr>
        <w:t xml:space="preserve">For </w:t>
      </w:r>
      <w:r w:rsidR="00AF318F" w:rsidRPr="0004608B">
        <w:rPr>
          <w:lang w:val="en-GB"/>
        </w:rPr>
        <w:t xml:space="preserve">the </w:t>
      </w:r>
      <w:r w:rsidRPr="0004608B">
        <w:rPr>
          <w:lang w:val="en-GB"/>
        </w:rPr>
        <w:t>safety of navigation</w:t>
      </w:r>
      <w:r w:rsidR="00AF318F" w:rsidRPr="0004608B">
        <w:rPr>
          <w:lang w:val="en-GB"/>
        </w:rPr>
        <w:t xml:space="preserve"> a </w:t>
      </w:r>
      <w:r w:rsidRPr="0004608B">
        <w:rPr>
          <w:lang w:val="en-GB"/>
        </w:rPr>
        <w:t>safe sector should include the entire angle of uncertainty, which is stated in the guideline in paragraph 12.7, figure 26. This result</w:t>
      </w:r>
      <w:r w:rsidR="00AF318F" w:rsidRPr="0004608B">
        <w:rPr>
          <w:lang w:val="en-GB"/>
        </w:rPr>
        <w:t>s</w:t>
      </w:r>
      <w:r w:rsidRPr="0004608B">
        <w:rPr>
          <w:lang w:val="en-GB"/>
        </w:rPr>
        <w:t xml:space="preserve"> in a larger safety margin for the mariner as the hazardous sector is clearly identified. Therefore, the sector boundary should </w:t>
      </w:r>
      <w:r w:rsidRPr="0004608B">
        <w:rPr>
          <w:b/>
          <w:lang w:val="en-GB"/>
        </w:rPr>
        <w:t>not</w:t>
      </w:r>
      <w:r w:rsidRPr="0004608B">
        <w:rPr>
          <w:lang w:val="en-GB"/>
        </w:rPr>
        <w:t xml:space="preserve"> be calculated as a mean between white light and coloured light, since that would leave half the angle of uncertainty outside the boundary.</w:t>
      </w:r>
    </w:p>
    <w:p w:rsidR="00F135B2" w:rsidRPr="0004608B" w:rsidRDefault="00861D99" w:rsidP="00861D99">
      <w:pPr>
        <w:pStyle w:val="BodyText"/>
      </w:pPr>
      <w:r w:rsidRPr="0004608B">
        <w:t xml:space="preserve">NCA proposed and the ARM Committee agreed that the principles from Ed.2 para 5.4.4 and Ed.3 para 12.7 are reflected in Ed.3 para 14.5. </w:t>
      </w:r>
    </w:p>
    <w:p w:rsidR="00F135B2" w:rsidRPr="0004608B" w:rsidRDefault="00F135B2" w:rsidP="00861D99">
      <w:pPr>
        <w:pStyle w:val="BodyText"/>
      </w:pPr>
    </w:p>
    <w:p w:rsidR="009F5C36" w:rsidRPr="0004608B" w:rsidRDefault="00AA76C0" w:rsidP="00E66034">
      <w:pPr>
        <w:pStyle w:val="Heading1"/>
      </w:pPr>
      <w:r w:rsidRPr="0004608B">
        <w:t>Action requested</w:t>
      </w:r>
    </w:p>
    <w:p w:rsidR="00F135B2" w:rsidRPr="0004608B" w:rsidRDefault="00861D99" w:rsidP="00F135B2">
      <w:pPr>
        <w:pStyle w:val="BodyText"/>
      </w:pPr>
      <w:r w:rsidRPr="0004608B">
        <w:t>The ENG Committee is requested to amend Guideline 1041 in order that the principles from Ed.2 para 5.4.4 and Ed.3 para 12.7 are reflected in Ed.3 para 14.5.</w:t>
      </w:r>
    </w:p>
    <w:p w:rsidR="00F135B2" w:rsidRDefault="00F135B2" w:rsidP="00F135B2">
      <w:pPr>
        <w:pStyle w:val="BodyText"/>
      </w:pPr>
      <w:r w:rsidRPr="0004608B">
        <w:t>If needed the ENG Committee can liaise with the ARM Committee intersessionally by contacting Mr. Martin Bransby.</w:t>
      </w:r>
    </w:p>
    <w:p w:rsidR="00630F7F" w:rsidRPr="00861D99" w:rsidRDefault="00630F7F" w:rsidP="00861D99">
      <w:pPr>
        <w:pStyle w:val="List1"/>
        <w:numPr>
          <w:ilvl w:val="0"/>
          <w:numId w:val="0"/>
        </w:numPr>
        <w:rPr>
          <w:lang w:val="en-GB"/>
        </w:rPr>
      </w:pPr>
    </w:p>
    <w:sectPr w:rsidR="00630F7F" w:rsidRPr="00861D99" w:rsidSect="005D05AC">
      <w:headerReference w:type="default" r:id="rId10"/>
      <w:footerReference w:type="default" r:id="rId11"/>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67C" w:rsidRDefault="00B5667C" w:rsidP="00002906">
      <w:r>
        <w:separator/>
      </w:r>
    </w:p>
  </w:endnote>
  <w:endnote w:type="continuationSeparator" w:id="0">
    <w:p w:rsidR="00B5667C" w:rsidRDefault="00B5667C"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pPr>
      <w:pStyle w:val="Footer"/>
    </w:pPr>
    <w:r>
      <w:tab/>
    </w:r>
    <w:r>
      <w:fldChar w:fldCharType="begin"/>
    </w:r>
    <w:r>
      <w:instrText xml:space="preserve"> PAGE   \* MERGEFORMAT </w:instrText>
    </w:r>
    <w:r>
      <w:fldChar w:fldCharType="separate"/>
    </w:r>
    <w:r w:rsidR="00E32475">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67C" w:rsidRDefault="00B5667C" w:rsidP="00002906">
      <w:r>
        <w:separator/>
      </w:r>
    </w:p>
  </w:footnote>
  <w:footnote w:type="continuationSeparator" w:id="0">
    <w:p w:rsidR="00B5667C" w:rsidRDefault="00B5667C"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774" w:rsidRDefault="00E0342C">
    <w:pPr>
      <w:pStyle w:val="Header"/>
    </w:pPr>
    <w:r>
      <w:rPr>
        <w:noProof/>
        <w:lang w:val="en-IE" w:eastAsia="en-IE"/>
      </w:rPr>
      <w:drawing>
        <wp:inline distT="0" distB="0" distL="0" distR="0">
          <wp:extent cx="749300" cy="73025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4"/>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774"/>
    <w:rsid w:val="00002906"/>
    <w:rsid w:val="00031A92"/>
    <w:rsid w:val="000348ED"/>
    <w:rsid w:val="00036801"/>
    <w:rsid w:val="0004608B"/>
    <w:rsid w:val="00050DA7"/>
    <w:rsid w:val="00073774"/>
    <w:rsid w:val="000A5A01"/>
    <w:rsid w:val="00135447"/>
    <w:rsid w:val="00152273"/>
    <w:rsid w:val="001849AA"/>
    <w:rsid w:val="001A654A"/>
    <w:rsid w:val="001C74CF"/>
    <w:rsid w:val="003D55DD"/>
    <w:rsid w:val="003E1831"/>
    <w:rsid w:val="004051B6"/>
    <w:rsid w:val="00424954"/>
    <w:rsid w:val="004C1386"/>
    <w:rsid w:val="004C220D"/>
    <w:rsid w:val="005D05AC"/>
    <w:rsid w:val="00630F7F"/>
    <w:rsid w:val="0064435F"/>
    <w:rsid w:val="006D470F"/>
    <w:rsid w:val="00727E88"/>
    <w:rsid w:val="00775878"/>
    <w:rsid w:val="0080092C"/>
    <w:rsid w:val="00840002"/>
    <w:rsid w:val="00861D99"/>
    <w:rsid w:val="00872453"/>
    <w:rsid w:val="008F13DD"/>
    <w:rsid w:val="00902AA4"/>
    <w:rsid w:val="00913464"/>
    <w:rsid w:val="009F3B6C"/>
    <w:rsid w:val="009F5C36"/>
    <w:rsid w:val="00A27F12"/>
    <w:rsid w:val="00A30579"/>
    <w:rsid w:val="00AA76C0"/>
    <w:rsid w:val="00AF318F"/>
    <w:rsid w:val="00B077EC"/>
    <w:rsid w:val="00B15B24"/>
    <w:rsid w:val="00B428DA"/>
    <w:rsid w:val="00B5667C"/>
    <w:rsid w:val="00B8247E"/>
    <w:rsid w:val="00BE56DF"/>
    <w:rsid w:val="00CA04AF"/>
    <w:rsid w:val="00CF3661"/>
    <w:rsid w:val="00E0342C"/>
    <w:rsid w:val="00E32475"/>
    <w:rsid w:val="00E401AE"/>
    <w:rsid w:val="00E66034"/>
    <w:rsid w:val="00E93C9B"/>
    <w:rsid w:val="00EE3F2F"/>
    <w:rsid w:val="00F135B2"/>
    <w:rsid w:val="00F73F78"/>
    <w:rsid w:val="00FA5842"/>
    <w:rsid w:val="00FA6769"/>
    <w:rsid w:val="00FD03CA"/>
    <w:rsid w:val="00FD4B9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8DE9027-FBBF-4234-AC68-07C31F787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AF318F"/>
    <w:rPr>
      <w:rFonts w:ascii="Tahoma" w:hAnsi="Tahoma" w:cs="Tahoma"/>
      <w:sz w:val="16"/>
      <w:szCs w:val="16"/>
    </w:rPr>
  </w:style>
  <w:style w:type="character" w:customStyle="1" w:styleId="BalloonTextChar">
    <w:name w:val="Balloon Text Char"/>
    <w:basedOn w:val="DefaultParagraphFont"/>
    <w:link w:val="BalloonText"/>
    <w:rsid w:val="00AF318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4</TotalTime>
  <Pages>2</Pages>
  <Words>337</Words>
  <Characters>1923</Characters>
  <Application>Microsoft Office Word</Application>
  <DocSecurity>0</DocSecurity>
  <Lines>16</Lines>
  <Paragraphs>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Seamus Doyle</cp:lastModifiedBy>
  <cp:revision>5</cp:revision>
  <cp:lastPrinted>2006-10-19T10:49:00Z</cp:lastPrinted>
  <dcterms:created xsi:type="dcterms:W3CDTF">2017-04-28T17:48:00Z</dcterms:created>
  <dcterms:modified xsi:type="dcterms:W3CDTF">2017-07-27T20:11:00Z</dcterms:modified>
</cp:coreProperties>
</file>